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uppressAutoHyphens/>
        <w:jc w:val="center"/>
      </w:pPr>
      <w:bookmarkStart w:id="0" w:name="_GoBack"/>
      <w:bookmarkEnd w:id="0"/>
      <w:r>
        <w:rPr>
          <w:b/>
          <w:spacing w:val="-3"/>
        </w:rPr>
        <w:t>AN CHUIRT CHUARDA</w:t>
      </w:r>
    </w:p>
    <w:p>
      <w:pPr>
        <w:suppressAutoHyphens/>
        <w:jc w:val="center"/>
      </w:pPr>
      <w:r>
        <w:rPr>
          <w:b/>
          <w:spacing w:val="-3"/>
        </w:rPr>
        <w:t>(THE CIRCUIT COURT)</w:t>
      </w:r>
    </w:p>
    <w:p>
      <w:pPr>
        <w:suppressAutoHyphens/>
        <w:jc w:val="right"/>
        <w:rPr>
          <w:b/>
          <w:spacing w:val="-3"/>
        </w:rPr>
      </w:pPr>
      <w:r>
        <w:rPr>
          <w:b/>
          <w:spacing w:val="-3"/>
        </w:rPr>
        <w:t>Record No. [CSM:CsPlaintNo]</w:t>
      </w:r>
    </w:p>
    <w:p>
      <w:pPr>
        <w:tabs>
          <w:tab w:val="right" w:pos="9072"/>
        </w:tabs>
        <w:suppressAutoHyphens/>
      </w:pPr>
      <w:r>
        <w:rPr>
          <w:b/>
          <w:caps/>
          <w:spacing w:val="-3"/>
        </w:rPr>
        <w:t>[CAN:COURTAREA.CIRCOURTS#01] Circuit</w:t>
      </w:r>
      <w:r>
        <w:rPr>
          <w:b/>
          <w:caps/>
          <w:spacing w:val="-3"/>
        </w:rPr>
        <w:tab/>
        <w:t>COUNTY OF [CAN:NAME.CIRCOURTS#01]</w:t>
      </w:r>
    </w:p>
    <w:p>
      <w:pPr>
        <w:tabs>
          <w:tab w:val="right" w:pos="8505"/>
        </w:tabs>
        <w:suppressAutoHyphens/>
        <w:jc w:val="both"/>
      </w:pPr>
    </w:p>
    <w:p>
      <w:pPr>
        <w:suppressAutoHyphens/>
        <w:jc w:val="both"/>
      </w:pPr>
      <w:r>
        <w:rPr>
          <w:b/>
          <w:spacing w:val="-3"/>
        </w:rPr>
        <w:t>BETWEEN:</w:t>
      </w:r>
    </w:p>
    <w:p>
      <w:pPr>
        <w:suppressAutoHyphens/>
        <w:jc w:val="both"/>
      </w:pPr>
    </w:p>
    <w:p>
      <w:pPr>
        <w:suppressAutoHyphens/>
        <w:jc w:val="center"/>
      </w:pPr>
      <w:r>
        <w:t>[CNT:Name]</w:t>
      </w:r>
    </w:p>
    <w:p>
      <w:pPr>
        <w:suppressAutoHyphens/>
        <w:ind w:left="7200"/>
        <w:jc w:val="center"/>
      </w:pPr>
    </w:p>
    <w:p>
      <w:pPr>
        <w:suppressAutoHyphens/>
        <w:jc w:val="right"/>
      </w:pPr>
      <w:r>
        <w:rPr>
          <w:b/>
          <w:spacing w:val="-3"/>
        </w:rPr>
        <w:t>PLAINTIFF</w:t>
      </w:r>
    </w:p>
    <w:p>
      <w:pPr>
        <w:suppressAutoHyphens/>
        <w:jc w:val="both"/>
      </w:pPr>
    </w:p>
    <w:p>
      <w:pPr>
        <w:jc w:val="center"/>
      </w:pPr>
      <w:r>
        <w:rPr>
          <w:b/>
        </w:rPr>
        <w:t>AND</w:t>
      </w:r>
    </w:p>
    <w:p>
      <w:pPr>
        <w:jc w:val="center"/>
      </w:pPr>
    </w:p>
    <w:p>
      <w:pPr>
        <w:jc w:val="center"/>
      </w:pPr>
      <w:r>
        <w:t>[CAN:Name.Defendant#@&amp;]</w:t>
      </w:r>
    </w:p>
    <w:p>
      <w:pPr>
        <w:jc w:val="right"/>
      </w:pPr>
      <w:r>
        <w:rPr>
          <w:b/>
        </w:rPr>
        <w:t>DEFENDANT</w:t>
      </w:r>
    </w:p>
    <w:p>
      <w:pPr>
        <w:jc w:val="both"/>
      </w:pPr>
    </w:p>
    <w:p>
      <w:pPr>
        <w:jc w:val="both"/>
      </w:pPr>
    </w:p>
    <w:p>
      <w:pPr>
        <w:pStyle w:val="Heading3"/>
      </w:pPr>
      <w:r>
        <w:rPr>
          <w:caps/>
          <w:u w:val="none"/>
        </w:rPr>
        <w:t>ORDER 39, RULE 46(1) AND (2)</w:t>
      </w:r>
    </w:p>
    <w:p>
      <w:pPr>
        <w:pStyle w:val="Heading3"/>
      </w:pPr>
      <w:r>
        <w:rPr>
          <w:caps/>
          <w:u w:val="single"/>
        </w:rPr>
        <w:t>SCHEDULE of Witnesses, EXPERT WITNESSES and Reports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rPr>
          <w:b/>
          <w:bCs/>
        </w:rPr>
        <w:t>Witnesses as to the facts in the case pursuant to Section 45(1)(1)(iii) of the Courts and Court Officers Act, 1995</w:t>
      </w:r>
    </w:p>
    <w:p>
      <w:pPr>
        <w:jc w:val="both"/>
      </w:pPr>
    </w:p>
    <w:p>
      <w:pPr>
        <w:numPr>
          <w:ilvl w:val="0"/>
          <w:numId w:val="1"/>
        </w:num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rPr>
          <w:b/>
        </w:rPr>
        <w:t>Expert Witnesses:</w:t>
      </w:r>
    </w:p>
    <w:p>
      <w:pPr>
        <w:jc w:val="both"/>
      </w:pPr>
    </w:p>
    <w:p>
      <w:pPr>
        <w:numPr>
          <w:ilvl w:val="0"/>
          <w:numId w:val="2"/>
        </w:numPr>
        <w:jc w:val="both"/>
      </w:pPr>
    </w:p>
    <w:p/>
    <w:p>
      <w:pPr>
        <w:jc w:val="both"/>
      </w:pPr>
    </w:p>
    <w:p>
      <w:pPr>
        <w:jc w:val="both"/>
      </w:pPr>
    </w:p>
    <w:p>
      <w:pPr>
        <w:jc w:val="both"/>
      </w:pPr>
      <w:r>
        <w:rPr>
          <w:b/>
          <w:bCs/>
        </w:rPr>
        <w:t>Schedule of Expert Reports:</w:t>
      </w:r>
    </w:p>
    <w:p>
      <w:pPr>
        <w:jc w:val="both"/>
      </w:pPr>
    </w:p>
    <w:p>
      <w:pPr>
        <w:numPr>
          <w:ilvl w:val="0"/>
          <w:numId w:val="3"/>
        </w:numPr>
        <w:jc w:val="both"/>
      </w:pPr>
    </w:p>
    <w:sectPr>
      <w:pgSz w:w="11906" w:h="16838"/>
      <w:pgMar w:top="1701" w:right="1440" w:bottom="1701" w:left="1440" w:header="709" w:footer="709" w:gutter="0"/>
      <w:paperSrc w:first="7" w:other="7"/>
      <w:cols w:space="708"/>
      <w:docGrid w:linePitch="360" w:charSpace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0F75CE"/>
    <w:multiLevelType w:val="hybridMultilevel"/>
    <w:tmpl w:val="D924F5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907A40"/>
    <w:multiLevelType w:val="hybridMultilevel"/>
    <w:tmpl w:val="CBDE9E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E4943FC"/>
    <w:multiLevelType w:val="hybridMultilevel"/>
    <w:tmpl w:val="464C4478"/>
    <w:lvl w:ilvl="0" w:tplc="704EDFA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isplayHorizontalDrawingGridEvery w:val="2"/>
  <w:displayVerticalDrawingGridEvery w:val="2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7EF178-3A8A-4679-82EE-EC4D9D5F2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u w:val="double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4Char">
    <w:name w:val="Heading 4 Char"/>
    <w:link w:val="Heading4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6Char">
    <w:name w:val="Heading 6 Char"/>
    <w:link w:val="Heading6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1Char">
    <w:name w:val="Heading 1 Char"/>
    <w:link w:val="Heading1"/>
    <w:rPr>
      <w:b/>
      <w:bCs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pPr>
      <w:tabs>
        <w:tab w:val="center" w:pos="4513"/>
      </w:tabs>
      <w:suppressAutoHyphens/>
      <w:jc w:val="center"/>
    </w:pPr>
    <w:rPr>
      <w:b/>
      <w:spacing w:val="-3"/>
      <w:sz w:val="22"/>
    </w:rPr>
  </w:style>
  <w:style w:type="character" w:customStyle="1" w:styleId="BodyTextChar">
    <w:name w:val="Body Text Char"/>
    <w:link w:val="BodyText"/>
    <w:rPr>
      <w:b/>
      <w:spacing w:val="-3"/>
      <w:sz w:val="22"/>
      <w:szCs w:val="24"/>
      <w:lang w:val="en-GB" w:eastAsia="en-US"/>
    </w:r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HIGH COURT</vt:lpstr>
    </vt:vector>
  </TitlesOfParts>
  <Company>Bourke &amp; Co. Solicitors</Company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HIGH COURT</dc:title>
  <dc:subject/>
  <dc:creator>Burke &amp; Company Burke &amp; Compa</dc:creator>
  <cp:keywords/>
  <cp:lastModifiedBy>Art Kavanagh</cp:lastModifiedBy>
  <cp:revision>5</cp:revision>
  <cp:lastPrinted>2013-06-12T15:21:00Z</cp:lastPrinted>
  <dcterms:created xsi:type="dcterms:W3CDTF">2019-05-13T16:13:00Z</dcterms:created>
  <dcterms:modified xsi:type="dcterms:W3CDTF">2020-07-01T19:30:00Z</dcterms:modified>
</cp:coreProperties>
</file>